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Поддержка молодежных инициатив</w:t>
            </w:r>
          </w:p>
          <w:p>
            <w:pPr>
              <w:jc w:val="center"/>
              <w:spacing w:after="0" w:line="240" w:lineRule="auto"/>
              <w:rPr>
                <w:sz w:val="32"/>
                <w:szCs w:val="32"/>
              </w:rPr>
            </w:pPr>
            <w:r>
              <w:rPr>
                <w:rFonts w:ascii="Times New Roman" w:hAnsi="Times New Roman" w:cs="Times New Roman"/>
                <w:color w:val="#000000"/>
                <w:sz w:val="32"/>
                <w:szCs w:val="32"/>
              </w:rPr>
              <w:t> К.М.03.ДВ.02.02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«Поддержка молодежных инициатив»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К.М.03.ДВ.02.02 «Поддержка молодежных инициатив».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«Поддержка молодежных инициатив»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прогнозирования, проектирования и моделирования процессов, направленных на улучшение условий жизнедеятельности граждан</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ИПК-5.1 знать технологии социального прогнозирования в сфере социальной защиты населения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ИПК-5.2 уметь применять  технологии социального прогнозирования в сфере социальной защиты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ИПК-5.3 владеть навыками разработки проектов, направленных на обеспечение социального благополучия и социальной защиты граждан</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отмечать и анализировать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способами преодоления коммуникативных барьеров при межкультурном взаимодействии,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5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К.М.03.ДВ.02.02 «Поддержка молодежных инициатив» относится к обязательной части, является дисциплиной Блока Б1. «Дисциплины (модули)». Модуль 5 "Социально-медицинские  и социально-трудовые аспекты в видах социальных услуг"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социальной работы</w:t>
            </w:r>
          </w:p>
          <w:p>
            <w:pPr>
              <w:jc w:val="center"/>
              <w:spacing w:after="0" w:line="240" w:lineRule="auto"/>
              <w:rPr>
                <w:sz w:val="22"/>
                <w:szCs w:val="22"/>
              </w:rPr>
            </w:pPr>
            <w:r>
              <w:rPr>
                <w:rFonts w:ascii="Times New Roman" w:hAnsi="Times New Roman" w:cs="Times New Roman"/>
                <w:color w:val="#000000"/>
                <w:sz w:val="22"/>
                <w:szCs w:val="22"/>
              </w:rPr>
              <w:t> Семьеведение</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сопровождение и социальный патронат как виды участия в жизни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поддержка молодежи на рынке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Молодая семья как объект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Молодежные объединения как субъекты социальной работы с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Волонтерское движение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Патриотизм и гражданское воспитание молодежи в системе государственной молодежной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поддержка молодежи на рынке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Молодежные объединения как субъекты социальной работы с молодежью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Волонтерское движение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Патриотизм и гражданское воспитание молодежи в системе государственной молодежной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сопровождение и социальный патронат как виды участия в жизни молодежи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Молодая семья как объект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сопровождение и социальный патронат как виды участия в жизни молодежи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поддержка молодежи на рынке труда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Молодая семья как объект социальной работы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Молодежные объединения как субъекты социальной работы с молодежью</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Волонтерское движение молодежи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Патриотизм и гражданское воспитание молодежи в системе государственной молодежной политики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поддержка молодежи на рынке труда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Молодежные объединения как субъекты социальной работы с молодежью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Волонтерское движение молодежи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Патриотизм и гражданское воспитание молодежи в системе государственной молодежной политики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сопровождение и социальный патронат как виды участия в жизни молодежи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Молодая семья как объект социальной работы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«Поддержка молодежных инициатив»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Семья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институтов</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Ростовская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Кучмаева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https://urait.ru/bcode/430897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"социокультурные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978-5-534-05173-5.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https://urait.ru/bcode/414498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предупреждение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преодоление</w:t>
            </w:r>
            <w:r>
              <w:rPr/>
              <w:t xml:space="preserve"> </w:t>
            </w:r>
            <w:r>
              <w:rPr>
                <w:rFonts w:ascii="Times New Roman" w:hAnsi="Times New Roman" w:cs="Times New Roman"/>
                <w:color w:val="#000000"/>
                <w:sz w:val="24"/>
                <w:szCs w:val="24"/>
              </w:rPr>
              <w:t>культовой</w:t>
            </w:r>
            <w:r>
              <w:rPr/>
              <w:t xml:space="preserve"> </w:t>
            </w:r>
            <w:r>
              <w:rPr>
                <w:rFonts w:ascii="Times New Roman" w:hAnsi="Times New Roman" w:cs="Times New Roman"/>
                <w:color w:val="#000000"/>
                <w:sz w:val="24"/>
                <w:szCs w:val="24"/>
              </w:rPr>
              <w:t>зависимости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https://urait.ru/bcode/429986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Молодежный</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туризм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Урмина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978-5-534-00999-6.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https://urait.ru/bcode/414499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86.0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2023-2024_ФГОС3++2023_Бак-ОФО-СР(23)_plx_Поддержка молодежных инициатив</dc:title>
  <dc:creator>FastReport.NET</dc:creator>
</cp:coreProperties>
</file>